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F724E" w14:textId="77777777" w:rsidR="00933609" w:rsidRDefault="00933609"/>
    <w:p w14:paraId="3290D0E3" w14:textId="77777777" w:rsidR="008A575A" w:rsidRDefault="008A575A" w:rsidP="008A575A">
      <w:pPr>
        <w:spacing w:after="227"/>
        <w:jc w:val="center"/>
      </w:pPr>
      <w:r>
        <w:rPr>
          <w:b/>
          <w:bCs/>
          <w:sz w:val="24"/>
          <w:szCs w:val="24"/>
          <w:u w:val="single"/>
        </w:rPr>
        <w:t xml:space="preserve">AB 2: Salze – eine ausgewogene Sache </w:t>
      </w:r>
      <w:r w:rsidRPr="00D64DDD">
        <w:rPr>
          <w:b/>
          <w:bCs/>
          <w:i/>
          <w:sz w:val="24"/>
          <w:szCs w:val="24"/>
          <w:u w:val="single"/>
        </w:rPr>
        <w:t>oder</w:t>
      </w:r>
      <w:r>
        <w:rPr>
          <w:b/>
          <w:bCs/>
          <w:sz w:val="24"/>
          <w:szCs w:val="24"/>
          <w:u w:val="single"/>
        </w:rPr>
        <w:t xml:space="preserve"> Ionen im richtigen Verhältnis</w:t>
      </w:r>
    </w:p>
    <w:p w14:paraId="78AA50EE" w14:textId="77777777" w:rsidR="00933609" w:rsidRDefault="00933609">
      <w:pPr>
        <w:widowControl w:val="0"/>
        <w:suppressAutoHyphens/>
        <w:spacing w:after="0"/>
        <w:ind w:left="720"/>
        <w:textAlignment w:val="baseline"/>
      </w:pPr>
    </w:p>
    <w:p w14:paraId="38EFAAB4" w14:textId="5C41B33A" w:rsidR="00933609" w:rsidRDefault="00DB2A10">
      <w:pPr>
        <w:pStyle w:val="Beschriftung"/>
        <w:keepNext/>
        <w:rPr>
          <w:sz w:val="22"/>
          <w:szCs w:val="22"/>
        </w:rPr>
      </w:pPr>
      <w:r w:rsidRPr="00DB2A10">
        <w:rPr>
          <w:sz w:val="22"/>
          <w:szCs w:val="22"/>
        </w:rPr>
        <w:t>Lösungen</w:t>
      </w:r>
      <w:r w:rsidR="00640655">
        <w:rPr>
          <w:sz w:val="22"/>
          <w:szCs w:val="22"/>
        </w:rPr>
        <w:t>:</w:t>
      </w:r>
    </w:p>
    <w:p w14:paraId="5D749920" w14:textId="77777777" w:rsidR="00DB2A10" w:rsidRPr="00DB2A10" w:rsidRDefault="00DB2A10" w:rsidP="00DB2A10"/>
    <w:p w14:paraId="5D234361" w14:textId="77777777" w:rsidR="00DB2A10" w:rsidRDefault="00DB2A10" w:rsidP="00F019A6">
      <w:pPr>
        <w:spacing w:after="57"/>
      </w:pPr>
      <w:r>
        <w:rPr>
          <w:b/>
        </w:rPr>
        <w:t xml:space="preserve">Aufgabe: </w:t>
      </w:r>
      <w:r>
        <w:t>Ermittle die Verhältnisformeln der Ionenverbindungen in Tabelle 2.</w:t>
      </w:r>
    </w:p>
    <w:p w14:paraId="2CDCC984" w14:textId="77777777" w:rsidR="00DB2A10" w:rsidRDefault="00DB2A10" w:rsidP="00F019A6">
      <w:pPr>
        <w:spacing w:after="57"/>
      </w:pPr>
    </w:p>
    <w:p w14:paraId="2D2B884C" w14:textId="77777777" w:rsidR="00DB2A10" w:rsidRDefault="00DB2A10" w:rsidP="00DB2A10">
      <w:pPr>
        <w:pStyle w:val="Beschriftung"/>
        <w:keepNext/>
      </w:pPr>
      <w:r w:rsidRPr="00DC072E">
        <w:t>Tabelle 2:</w:t>
      </w:r>
      <w:r>
        <w:t xml:space="preserve"> Verhältnisformeln und Namen von Salzen</w:t>
      </w:r>
    </w:p>
    <w:tbl>
      <w:tblPr>
        <w:tblStyle w:val="Tabellenraster"/>
        <w:tblW w:w="9130" w:type="dxa"/>
        <w:tblLook w:val="04A0" w:firstRow="1" w:lastRow="0" w:firstColumn="1" w:lastColumn="0" w:noHBand="0" w:noVBand="1"/>
      </w:tblPr>
      <w:tblGrid>
        <w:gridCol w:w="1018"/>
        <w:gridCol w:w="1155"/>
        <w:gridCol w:w="2077"/>
        <w:gridCol w:w="1990"/>
        <w:gridCol w:w="2890"/>
      </w:tblGrid>
      <w:tr w:rsidR="00933609" w14:paraId="50AD639C" w14:textId="77777777">
        <w:trPr>
          <w:trHeight w:val="450"/>
        </w:trPr>
        <w:tc>
          <w:tcPr>
            <w:tcW w:w="1018" w:type="dxa"/>
            <w:tcBorders>
              <w:top w:val="nil"/>
              <w:left w:val="nil"/>
              <w:bottom w:val="single" w:sz="10" w:space="0" w:color="000000"/>
              <w:right w:val="nil"/>
            </w:tcBorders>
            <w:shd w:val="clear" w:color="auto" w:fill="DDDDDD"/>
            <w:vAlign w:val="center"/>
          </w:tcPr>
          <w:p w14:paraId="7A18A00D" w14:textId="77777777" w:rsidR="00933609" w:rsidRDefault="002D5188">
            <w:pPr>
              <w:spacing w:after="0"/>
              <w:jc w:val="center"/>
            </w:pPr>
            <w:r>
              <w:rPr>
                <w:b/>
              </w:rPr>
              <w:t>Kation</w:t>
            </w:r>
          </w:p>
        </w:tc>
        <w:tc>
          <w:tcPr>
            <w:tcW w:w="1155" w:type="dxa"/>
            <w:tcBorders>
              <w:top w:val="nil"/>
              <w:left w:val="single" w:sz="10" w:space="0" w:color="000000"/>
              <w:bottom w:val="single" w:sz="10" w:space="0" w:color="000000"/>
            </w:tcBorders>
            <w:shd w:val="clear" w:color="auto" w:fill="DDDDDD"/>
            <w:vAlign w:val="center"/>
          </w:tcPr>
          <w:p w14:paraId="1DC107C3" w14:textId="77777777" w:rsidR="00933609" w:rsidRDefault="002D5188">
            <w:pPr>
              <w:spacing w:after="0"/>
              <w:jc w:val="center"/>
            </w:pPr>
            <w:r>
              <w:rPr>
                <w:b/>
              </w:rPr>
              <w:t>Anion</w:t>
            </w:r>
          </w:p>
        </w:tc>
        <w:tc>
          <w:tcPr>
            <w:tcW w:w="2077" w:type="dxa"/>
            <w:tcBorders>
              <w:top w:val="nil"/>
              <w:left w:val="single" w:sz="10" w:space="0" w:color="000000"/>
              <w:bottom w:val="single" w:sz="10" w:space="0" w:color="000000"/>
            </w:tcBorders>
            <w:shd w:val="clear" w:color="auto" w:fill="DDDDDD"/>
            <w:vAlign w:val="center"/>
          </w:tcPr>
          <w:p w14:paraId="11539331" w14:textId="77777777" w:rsidR="00933609" w:rsidRDefault="002D5188">
            <w:pPr>
              <w:spacing w:after="0"/>
              <w:jc w:val="center"/>
            </w:pPr>
            <w:r>
              <w:rPr>
                <w:b/>
              </w:rPr>
              <w:t>Anzahlverhältnis</w:t>
            </w:r>
          </w:p>
        </w:tc>
        <w:tc>
          <w:tcPr>
            <w:tcW w:w="1990" w:type="dxa"/>
            <w:tcBorders>
              <w:top w:val="nil"/>
              <w:left w:val="single" w:sz="10" w:space="0" w:color="000000"/>
              <w:bottom w:val="single" w:sz="10" w:space="0" w:color="000000"/>
            </w:tcBorders>
            <w:shd w:val="clear" w:color="auto" w:fill="DDDDDD"/>
            <w:vAlign w:val="center"/>
          </w:tcPr>
          <w:p w14:paraId="4E427FFD" w14:textId="77777777" w:rsidR="00933609" w:rsidRDefault="002D5188">
            <w:pPr>
              <w:spacing w:after="0"/>
              <w:jc w:val="center"/>
            </w:pPr>
            <w:r>
              <w:rPr>
                <w:b/>
              </w:rPr>
              <w:t>Verhältnisformel</w:t>
            </w:r>
          </w:p>
        </w:tc>
        <w:tc>
          <w:tcPr>
            <w:tcW w:w="2890" w:type="dxa"/>
            <w:tcBorders>
              <w:top w:val="nil"/>
              <w:left w:val="single" w:sz="10" w:space="0" w:color="000000"/>
              <w:bottom w:val="single" w:sz="10" w:space="0" w:color="000000"/>
              <w:right w:val="nil"/>
            </w:tcBorders>
            <w:shd w:val="clear" w:color="auto" w:fill="DDDDDD"/>
            <w:vAlign w:val="center"/>
          </w:tcPr>
          <w:p w14:paraId="6834E7CC" w14:textId="77777777" w:rsidR="00933609" w:rsidRDefault="002D5188">
            <w:pPr>
              <w:spacing w:after="0"/>
              <w:jc w:val="center"/>
            </w:pPr>
            <w:r>
              <w:rPr>
                <w:b/>
              </w:rPr>
              <w:t>Namen</w:t>
            </w:r>
          </w:p>
        </w:tc>
      </w:tr>
      <w:tr w:rsidR="00933609" w14:paraId="7457D014" w14:textId="77777777">
        <w:tc>
          <w:tcPr>
            <w:tcW w:w="10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6D34418" w14:textId="77777777" w:rsidR="00933609" w:rsidRDefault="002D5188">
            <w:pPr>
              <w:spacing w:before="57" w:after="57"/>
              <w:jc w:val="center"/>
            </w:pPr>
            <w:r>
              <w:t>Na</w:t>
            </w:r>
            <w:r>
              <w:rPr>
                <w:vertAlign w:val="superscript"/>
              </w:rPr>
              <w:t>+</w:t>
            </w:r>
          </w:p>
        </w:tc>
        <w:tc>
          <w:tcPr>
            <w:tcW w:w="1155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11E82031" w14:textId="77777777" w:rsidR="00933609" w:rsidRDefault="002D5188">
            <w:pPr>
              <w:spacing w:before="57" w:after="57"/>
              <w:jc w:val="center"/>
            </w:pPr>
            <w:r>
              <w:t>F</w:t>
            </w:r>
            <w:r>
              <w:rPr>
                <w:rFonts w:cs="Arial"/>
                <w:vertAlign w:val="superscript"/>
              </w:rPr>
              <w:t>–</w:t>
            </w:r>
          </w:p>
        </w:tc>
        <w:tc>
          <w:tcPr>
            <w:tcW w:w="2077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1127B89E" w14:textId="77777777" w:rsidR="00933609" w:rsidRPr="00DB2A10" w:rsidRDefault="002D5188">
            <w:pPr>
              <w:spacing w:before="57" w:after="57"/>
              <w:jc w:val="center"/>
              <w:rPr>
                <w:i/>
                <w:iCs/>
                <w:color w:val="000000" w:themeColor="text1"/>
              </w:rPr>
            </w:pPr>
            <w:r w:rsidRPr="00DB2A10">
              <w:rPr>
                <w:i/>
                <w:iCs/>
                <w:color w:val="000000" w:themeColor="text1"/>
              </w:rPr>
              <w:t>1:1</w:t>
            </w:r>
          </w:p>
        </w:tc>
        <w:tc>
          <w:tcPr>
            <w:tcW w:w="1990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3BE23D72" w14:textId="77777777" w:rsidR="00933609" w:rsidRPr="00DB2A10" w:rsidRDefault="002D5188">
            <w:pPr>
              <w:spacing w:after="0"/>
              <w:jc w:val="center"/>
              <w:rPr>
                <w:i/>
                <w:iCs/>
                <w:color w:val="000000" w:themeColor="text1"/>
              </w:rPr>
            </w:pPr>
            <w:proofErr w:type="spellStart"/>
            <w:r w:rsidRPr="00DB2A10">
              <w:rPr>
                <w:i/>
                <w:iCs/>
                <w:color w:val="000000" w:themeColor="text1"/>
              </w:rPr>
              <w:t>NaF</w:t>
            </w:r>
            <w:proofErr w:type="spellEnd"/>
          </w:p>
        </w:tc>
        <w:tc>
          <w:tcPr>
            <w:tcW w:w="2890" w:type="dxa"/>
            <w:tcBorders>
              <w:top w:val="nil"/>
              <w:left w:val="single" w:sz="10" w:space="0" w:color="000000"/>
              <w:right w:val="nil"/>
            </w:tcBorders>
            <w:shd w:val="clear" w:color="auto" w:fill="auto"/>
          </w:tcPr>
          <w:p w14:paraId="715C1328" w14:textId="77777777" w:rsidR="00933609" w:rsidRPr="00DB2A10" w:rsidRDefault="002D5188">
            <w:pPr>
              <w:spacing w:before="57" w:after="57"/>
              <w:jc w:val="center"/>
              <w:rPr>
                <w:i/>
                <w:iCs/>
                <w:color w:val="000000" w:themeColor="text1"/>
              </w:rPr>
            </w:pPr>
            <w:r w:rsidRPr="00DB2A10">
              <w:rPr>
                <w:i/>
                <w:iCs/>
                <w:color w:val="000000" w:themeColor="text1"/>
              </w:rPr>
              <w:t>Natriumfluorid</w:t>
            </w:r>
          </w:p>
        </w:tc>
      </w:tr>
      <w:tr w:rsidR="00933609" w14:paraId="42BDA826" w14:textId="77777777">
        <w:tc>
          <w:tcPr>
            <w:tcW w:w="10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7D6747E" w14:textId="77777777" w:rsidR="00933609" w:rsidRDefault="002D5188">
            <w:pPr>
              <w:spacing w:before="57" w:after="57"/>
              <w:jc w:val="center"/>
            </w:pPr>
            <w:r>
              <w:t>Fe</w:t>
            </w:r>
            <w:r>
              <w:rPr>
                <w:vertAlign w:val="superscript"/>
              </w:rPr>
              <w:t>3+</w:t>
            </w:r>
          </w:p>
        </w:tc>
        <w:tc>
          <w:tcPr>
            <w:tcW w:w="1155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293FEEE6" w14:textId="77777777" w:rsidR="00933609" w:rsidRDefault="002D5188">
            <w:pPr>
              <w:spacing w:before="57" w:after="57"/>
              <w:jc w:val="center"/>
            </w:pPr>
            <w:r>
              <w:t xml:space="preserve">Br </w:t>
            </w:r>
            <w:r>
              <w:rPr>
                <w:rFonts w:cs="Arial"/>
                <w:vertAlign w:val="superscript"/>
              </w:rPr>
              <w:t>–</w:t>
            </w:r>
          </w:p>
        </w:tc>
        <w:tc>
          <w:tcPr>
            <w:tcW w:w="2077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14BCC154" w14:textId="77777777" w:rsidR="00933609" w:rsidRPr="00DB2A10" w:rsidRDefault="002D5188">
            <w:pPr>
              <w:spacing w:before="57" w:after="57"/>
              <w:jc w:val="center"/>
              <w:rPr>
                <w:i/>
                <w:iCs/>
                <w:color w:val="000000" w:themeColor="text1"/>
              </w:rPr>
            </w:pPr>
            <w:r w:rsidRPr="00DB2A10">
              <w:rPr>
                <w:i/>
                <w:iCs/>
                <w:color w:val="000000" w:themeColor="text1"/>
              </w:rPr>
              <w:t>1:3</w:t>
            </w:r>
          </w:p>
        </w:tc>
        <w:tc>
          <w:tcPr>
            <w:tcW w:w="1990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285169D7" w14:textId="77777777" w:rsidR="00933609" w:rsidRPr="00DB2A10" w:rsidRDefault="002D5188">
            <w:pPr>
              <w:spacing w:after="0"/>
              <w:jc w:val="center"/>
              <w:rPr>
                <w:i/>
                <w:iCs/>
                <w:color w:val="000000" w:themeColor="text1"/>
              </w:rPr>
            </w:pPr>
            <w:r w:rsidRPr="00DB2A10">
              <w:rPr>
                <w:i/>
                <w:iCs/>
                <w:color w:val="000000" w:themeColor="text1"/>
              </w:rPr>
              <w:t>FeBr</w:t>
            </w:r>
            <w:r w:rsidRPr="00DB2A10">
              <w:rPr>
                <w:i/>
                <w:iCs/>
                <w:color w:val="000000" w:themeColor="text1"/>
                <w:vertAlign w:val="subscript"/>
              </w:rPr>
              <w:t>3</w:t>
            </w:r>
          </w:p>
        </w:tc>
        <w:tc>
          <w:tcPr>
            <w:tcW w:w="2890" w:type="dxa"/>
            <w:tcBorders>
              <w:top w:val="nil"/>
              <w:left w:val="single" w:sz="10" w:space="0" w:color="000000"/>
              <w:right w:val="nil"/>
            </w:tcBorders>
            <w:shd w:val="clear" w:color="auto" w:fill="auto"/>
          </w:tcPr>
          <w:p w14:paraId="56562B08" w14:textId="2B642D81" w:rsidR="00933609" w:rsidRPr="006D20B4" w:rsidRDefault="007F3784" w:rsidP="003A58CC">
            <w:pPr>
              <w:spacing w:before="57" w:after="57"/>
              <w:jc w:val="center"/>
              <w:rPr>
                <w:i/>
                <w:iCs/>
                <w:color w:val="000000" w:themeColor="text1"/>
                <w:vertAlign w:val="superscript"/>
              </w:rPr>
            </w:pPr>
            <w:r>
              <w:rPr>
                <w:i/>
                <w:iCs/>
                <w:color w:val="000000" w:themeColor="text1"/>
              </w:rPr>
              <w:t>Eisen(III)-b</w:t>
            </w:r>
            <w:r w:rsidR="002D5188" w:rsidRPr="00DB2A10">
              <w:rPr>
                <w:i/>
                <w:iCs/>
                <w:color w:val="000000" w:themeColor="text1"/>
              </w:rPr>
              <w:t>romid</w:t>
            </w:r>
            <w:r w:rsidR="006D20B4">
              <w:rPr>
                <w:i/>
                <w:iCs/>
                <w:color w:val="000000" w:themeColor="text1"/>
                <w:vertAlign w:val="superscript"/>
              </w:rPr>
              <w:t>1</w:t>
            </w:r>
          </w:p>
        </w:tc>
      </w:tr>
      <w:tr w:rsidR="00933609" w14:paraId="7C96A9A5" w14:textId="77777777">
        <w:tc>
          <w:tcPr>
            <w:tcW w:w="10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0E89645" w14:textId="77777777" w:rsidR="00933609" w:rsidRDefault="002D5188">
            <w:pPr>
              <w:spacing w:before="57" w:after="57"/>
              <w:jc w:val="center"/>
            </w:pPr>
            <w:proofErr w:type="spellStart"/>
            <w:r>
              <w:t>Cu</w:t>
            </w:r>
            <w:proofErr w:type="spellEnd"/>
            <w:r>
              <w:rPr>
                <w:vertAlign w:val="superscript"/>
              </w:rPr>
              <w:t>+</w:t>
            </w:r>
          </w:p>
        </w:tc>
        <w:tc>
          <w:tcPr>
            <w:tcW w:w="1155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75D98E15" w14:textId="77777777" w:rsidR="00933609" w:rsidRDefault="002D5188">
            <w:pPr>
              <w:spacing w:before="57" w:after="57"/>
              <w:jc w:val="center"/>
            </w:pPr>
            <w:r>
              <w:t>O</w:t>
            </w:r>
            <w:r>
              <w:rPr>
                <w:vertAlign w:val="superscript"/>
              </w:rPr>
              <w:t>2–</w:t>
            </w:r>
          </w:p>
        </w:tc>
        <w:tc>
          <w:tcPr>
            <w:tcW w:w="2077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362CC49A" w14:textId="77777777" w:rsidR="00933609" w:rsidRPr="00DB2A10" w:rsidRDefault="002D5188">
            <w:pPr>
              <w:spacing w:before="57" w:after="57"/>
              <w:jc w:val="center"/>
              <w:rPr>
                <w:i/>
                <w:iCs/>
                <w:color w:val="000000" w:themeColor="text1"/>
              </w:rPr>
            </w:pPr>
            <w:r w:rsidRPr="00DB2A10">
              <w:rPr>
                <w:i/>
                <w:iCs/>
                <w:color w:val="000000" w:themeColor="text1"/>
              </w:rPr>
              <w:t>2:1</w:t>
            </w:r>
          </w:p>
        </w:tc>
        <w:tc>
          <w:tcPr>
            <w:tcW w:w="1990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6E7F0875" w14:textId="77777777" w:rsidR="00933609" w:rsidRPr="00DB2A10" w:rsidRDefault="002D5188">
            <w:pPr>
              <w:spacing w:after="0"/>
              <w:jc w:val="center"/>
              <w:rPr>
                <w:i/>
                <w:iCs/>
                <w:color w:val="000000" w:themeColor="text1"/>
              </w:rPr>
            </w:pPr>
            <w:r w:rsidRPr="00DB2A10">
              <w:rPr>
                <w:i/>
                <w:iCs/>
                <w:color w:val="000000" w:themeColor="text1"/>
              </w:rPr>
              <w:t>Cu</w:t>
            </w:r>
            <w:r w:rsidRPr="00DB2A10">
              <w:rPr>
                <w:i/>
                <w:iCs/>
                <w:color w:val="000000" w:themeColor="text1"/>
                <w:vertAlign w:val="subscript"/>
              </w:rPr>
              <w:t>2</w:t>
            </w:r>
            <w:r w:rsidRPr="00DB2A10">
              <w:rPr>
                <w:i/>
                <w:iCs/>
                <w:color w:val="000000" w:themeColor="text1"/>
              </w:rPr>
              <w:t>O</w:t>
            </w:r>
          </w:p>
        </w:tc>
        <w:tc>
          <w:tcPr>
            <w:tcW w:w="2890" w:type="dxa"/>
            <w:tcBorders>
              <w:top w:val="nil"/>
              <w:left w:val="single" w:sz="10" w:space="0" w:color="000000"/>
              <w:right w:val="nil"/>
            </w:tcBorders>
            <w:shd w:val="clear" w:color="auto" w:fill="auto"/>
          </w:tcPr>
          <w:p w14:paraId="1A745968" w14:textId="253CDA4C" w:rsidR="00933609" w:rsidRPr="006D20B4" w:rsidRDefault="002D5188" w:rsidP="003A58CC">
            <w:pPr>
              <w:spacing w:before="57" w:after="57"/>
              <w:jc w:val="center"/>
              <w:rPr>
                <w:i/>
                <w:iCs/>
                <w:color w:val="000000" w:themeColor="text1"/>
                <w:vertAlign w:val="superscript"/>
              </w:rPr>
            </w:pPr>
            <w:r w:rsidRPr="00DB2A10">
              <w:rPr>
                <w:i/>
                <w:iCs/>
                <w:color w:val="000000" w:themeColor="text1"/>
              </w:rPr>
              <w:t>Kuper(I)-oxid</w:t>
            </w:r>
            <w:r w:rsidR="006D20B4">
              <w:rPr>
                <w:i/>
                <w:iCs/>
                <w:color w:val="000000" w:themeColor="text1"/>
                <w:vertAlign w:val="superscript"/>
              </w:rPr>
              <w:t>1</w:t>
            </w:r>
          </w:p>
        </w:tc>
      </w:tr>
      <w:tr w:rsidR="00933609" w14:paraId="28FEC2C7" w14:textId="77777777">
        <w:tc>
          <w:tcPr>
            <w:tcW w:w="10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AF707FE" w14:textId="77777777" w:rsidR="00933609" w:rsidRDefault="002D5188">
            <w:pPr>
              <w:spacing w:before="57" w:after="57"/>
              <w:jc w:val="center"/>
            </w:pPr>
            <w:r>
              <w:t>Ca</w:t>
            </w:r>
            <w:r>
              <w:rPr>
                <w:vertAlign w:val="superscript"/>
              </w:rPr>
              <w:t>2+</w:t>
            </w:r>
          </w:p>
        </w:tc>
        <w:tc>
          <w:tcPr>
            <w:tcW w:w="1155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31FA683A" w14:textId="77777777" w:rsidR="00933609" w:rsidRDefault="002D5188">
            <w:pPr>
              <w:spacing w:before="57" w:after="57"/>
              <w:jc w:val="center"/>
            </w:pPr>
            <w:r>
              <w:t>S</w:t>
            </w:r>
            <w:r>
              <w:rPr>
                <w:vertAlign w:val="superscript"/>
              </w:rPr>
              <w:t>2–</w:t>
            </w:r>
          </w:p>
        </w:tc>
        <w:tc>
          <w:tcPr>
            <w:tcW w:w="2077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6E7D4173" w14:textId="77777777" w:rsidR="00933609" w:rsidRPr="00DB2A10" w:rsidRDefault="002D5188">
            <w:pPr>
              <w:spacing w:before="57" w:after="57"/>
              <w:jc w:val="center"/>
              <w:rPr>
                <w:i/>
                <w:iCs/>
                <w:color w:val="000000" w:themeColor="text1"/>
              </w:rPr>
            </w:pPr>
            <w:r w:rsidRPr="00DB2A10">
              <w:rPr>
                <w:i/>
                <w:iCs/>
                <w:color w:val="000000" w:themeColor="text1"/>
              </w:rPr>
              <w:t>1:1</w:t>
            </w:r>
          </w:p>
        </w:tc>
        <w:tc>
          <w:tcPr>
            <w:tcW w:w="1990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5644C473" w14:textId="77777777" w:rsidR="00933609" w:rsidRPr="00DB2A10" w:rsidRDefault="002D5188">
            <w:pPr>
              <w:spacing w:after="0"/>
              <w:jc w:val="center"/>
              <w:rPr>
                <w:i/>
                <w:iCs/>
                <w:color w:val="000000" w:themeColor="text1"/>
              </w:rPr>
            </w:pPr>
            <w:proofErr w:type="spellStart"/>
            <w:r w:rsidRPr="00DB2A10">
              <w:rPr>
                <w:i/>
                <w:iCs/>
                <w:color w:val="000000" w:themeColor="text1"/>
              </w:rPr>
              <w:t>CaS</w:t>
            </w:r>
            <w:proofErr w:type="spellEnd"/>
          </w:p>
        </w:tc>
        <w:tc>
          <w:tcPr>
            <w:tcW w:w="2890" w:type="dxa"/>
            <w:tcBorders>
              <w:top w:val="nil"/>
              <w:left w:val="single" w:sz="10" w:space="0" w:color="000000"/>
              <w:right w:val="nil"/>
            </w:tcBorders>
            <w:shd w:val="clear" w:color="auto" w:fill="auto"/>
          </w:tcPr>
          <w:p w14:paraId="27314A5E" w14:textId="77777777" w:rsidR="00933609" w:rsidRPr="00DB2A10" w:rsidRDefault="002D5188">
            <w:pPr>
              <w:spacing w:before="57" w:after="57"/>
              <w:jc w:val="center"/>
              <w:rPr>
                <w:i/>
                <w:iCs/>
                <w:color w:val="000000" w:themeColor="text1"/>
              </w:rPr>
            </w:pPr>
            <w:r w:rsidRPr="00DB2A10">
              <w:rPr>
                <w:i/>
                <w:iCs/>
                <w:color w:val="000000" w:themeColor="text1"/>
              </w:rPr>
              <w:t>Calciumsulfid</w:t>
            </w:r>
          </w:p>
        </w:tc>
      </w:tr>
      <w:tr w:rsidR="00933609" w14:paraId="524FBA99" w14:textId="77777777">
        <w:tc>
          <w:tcPr>
            <w:tcW w:w="10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08322D6" w14:textId="77777777" w:rsidR="00933609" w:rsidRDefault="002D5188">
            <w:pPr>
              <w:spacing w:before="57" w:after="57"/>
              <w:jc w:val="center"/>
            </w:pPr>
            <w:r>
              <w:t>Mg</w:t>
            </w:r>
            <w:r>
              <w:rPr>
                <w:vertAlign w:val="superscript"/>
              </w:rPr>
              <w:t>2+</w:t>
            </w:r>
          </w:p>
        </w:tc>
        <w:tc>
          <w:tcPr>
            <w:tcW w:w="1155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51DC3DB7" w14:textId="77777777" w:rsidR="00933609" w:rsidRDefault="002D5188">
            <w:pPr>
              <w:spacing w:before="57" w:after="57"/>
              <w:jc w:val="center"/>
            </w:pPr>
            <w:r>
              <w:t>N</w:t>
            </w:r>
            <w:r>
              <w:rPr>
                <w:vertAlign w:val="superscript"/>
              </w:rPr>
              <w:t>3–</w:t>
            </w:r>
          </w:p>
        </w:tc>
        <w:tc>
          <w:tcPr>
            <w:tcW w:w="2077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09386462" w14:textId="77777777" w:rsidR="00933609" w:rsidRPr="00DB2A10" w:rsidRDefault="002D5188">
            <w:pPr>
              <w:spacing w:before="57" w:after="57"/>
              <w:jc w:val="center"/>
              <w:rPr>
                <w:i/>
                <w:iCs/>
                <w:color w:val="000000" w:themeColor="text1"/>
              </w:rPr>
            </w:pPr>
            <w:r w:rsidRPr="00DB2A10">
              <w:rPr>
                <w:i/>
                <w:iCs/>
                <w:color w:val="000000" w:themeColor="text1"/>
              </w:rPr>
              <w:t>3:2</w:t>
            </w:r>
          </w:p>
        </w:tc>
        <w:tc>
          <w:tcPr>
            <w:tcW w:w="1990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536FC157" w14:textId="77777777" w:rsidR="00933609" w:rsidRPr="00DB2A10" w:rsidRDefault="002D5188">
            <w:pPr>
              <w:spacing w:after="0"/>
              <w:jc w:val="center"/>
              <w:rPr>
                <w:i/>
                <w:iCs/>
                <w:color w:val="000000" w:themeColor="text1"/>
              </w:rPr>
            </w:pPr>
            <w:r w:rsidRPr="00DB2A10">
              <w:rPr>
                <w:i/>
                <w:iCs/>
                <w:color w:val="000000" w:themeColor="text1"/>
              </w:rPr>
              <w:t>Mg</w:t>
            </w:r>
            <w:r w:rsidRPr="00DB2A10">
              <w:rPr>
                <w:i/>
                <w:iCs/>
                <w:color w:val="000000" w:themeColor="text1"/>
                <w:vertAlign w:val="subscript"/>
              </w:rPr>
              <w:t>3</w:t>
            </w:r>
            <w:r w:rsidRPr="00DB2A10">
              <w:rPr>
                <w:i/>
                <w:iCs/>
                <w:color w:val="000000" w:themeColor="text1"/>
              </w:rPr>
              <w:t>N</w:t>
            </w:r>
            <w:r w:rsidRPr="00DB2A10">
              <w:rPr>
                <w:i/>
                <w:iCs/>
                <w:color w:val="000000" w:themeColor="text1"/>
                <w:vertAlign w:val="subscript"/>
              </w:rPr>
              <w:t>2</w:t>
            </w:r>
          </w:p>
        </w:tc>
        <w:tc>
          <w:tcPr>
            <w:tcW w:w="2890" w:type="dxa"/>
            <w:tcBorders>
              <w:top w:val="nil"/>
              <w:left w:val="single" w:sz="10" w:space="0" w:color="000000"/>
              <w:right w:val="nil"/>
            </w:tcBorders>
            <w:shd w:val="clear" w:color="auto" w:fill="auto"/>
          </w:tcPr>
          <w:p w14:paraId="01591A39" w14:textId="77777777" w:rsidR="00933609" w:rsidRPr="00DB2A10" w:rsidRDefault="002D5188">
            <w:pPr>
              <w:spacing w:before="57" w:after="57"/>
              <w:jc w:val="center"/>
              <w:rPr>
                <w:i/>
                <w:iCs/>
                <w:color w:val="000000" w:themeColor="text1"/>
              </w:rPr>
            </w:pPr>
            <w:r w:rsidRPr="00DB2A10">
              <w:rPr>
                <w:i/>
                <w:iCs/>
                <w:color w:val="000000" w:themeColor="text1"/>
              </w:rPr>
              <w:t>Magnesiumnitrid</w:t>
            </w:r>
          </w:p>
        </w:tc>
      </w:tr>
      <w:tr w:rsidR="00933609" w14:paraId="3B9179C3" w14:textId="77777777">
        <w:tc>
          <w:tcPr>
            <w:tcW w:w="10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7B65AC5" w14:textId="77777777" w:rsidR="00933609" w:rsidRDefault="002D5188">
            <w:pPr>
              <w:spacing w:before="57" w:after="57"/>
              <w:jc w:val="center"/>
            </w:pPr>
            <w:r>
              <w:t>Zn</w:t>
            </w:r>
            <w:r>
              <w:rPr>
                <w:vertAlign w:val="superscript"/>
              </w:rPr>
              <w:t>2+</w:t>
            </w:r>
          </w:p>
        </w:tc>
        <w:tc>
          <w:tcPr>
            <w:tcW w:w="1155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09C51F0C" w14:textId="77777777" w:rsidR="00933609" w:rsidRDefault="002D5188">
            <w:pPr>
              <w:spacing w:before="57" w:after="57"/>
              <w:jc w:val="center"/>
            </w:pPr>
            <w:r>
              <w:t>SO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2–</w:t>
            </w:r>
          </w:p>
        </w:tc>
        <w:tc>
          <w:tcPr>
            <w:tcW w:w="2077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6A44BCEA" w14:textId="77777777" w:rsidR="00933609" w:rsidRPr="00DB2A10" w:rsidRDefault="002D5188">
            <w:pPr>
              <w:spacing w:before="57" w:after="57"/>
              <w:jc w:val="center"/>
              <w:rPr>
                <w:i/>
                <w:iCs/>
                <w:color w:val="000000" w:themeColor="text1"/>
              </w:rPr>
            </w:pPr>
            <w:r w:rsidRPr="00DB2A10">
              <w:rPr>
                <w:i/>
                <w:iCs/>
                <w:color w:val="000000" w:themeColor="text1"/>
              </w:rPr>
              <w:t>1:1</w:t>
            </w:r>
          </w:p>
        </w:tc>
        <w:tc>
          <w:tcPr>
            <w:tcW w:w="1990" w:type="dxa"/>
            <w:tcBorders>
              <w:top w:val="nil"/>
              <w:left w:val="single" w:sz="10" w:space="0" w:color="000000"/>
            </w:tcBorders>
            <w:shd w:val="clear" w:color="auto" w:fill="auto"/>
            <w:vAlign w:val="center"/>
          </w:tcPr>
          <w:p w14:paraId="6A1047A1" w14:textId="77777777" w:rsidR="00933609" w:rsidRPr="00DB2A10" w:rsidRDefault="002D5188">
            <w:pPr>
              <w:spacing w:after="0"/>
              <w:jc w:val="center"/>
              <w:rPr>
                <w:i/>
                <w:iCs/>
                <w:color w:val="000000" w:themeColor="text1"/>
              </w:rPr>
            </w:pPr>
            <w:r w:rsidRPr="00DB2A10">
              <w:rPr>
                <w:i/>
                <w:iCs/>
                <w:color w:val="000000" w:themeColor="text1"/>
              </w:rPr>
              <w:t>ZnSO</w:t>
            </w:r>
            <w:r w:rsidRPr="00DB2A10">
              <w:rPr>
                <w:i/>
                <w:iCs/>
                <w:color w:val="000000" w:themeColor="text1"/>
                <w:vertAlign w:val="subscript"/>
              </w:rPr>
              <w:t>4</w:t>
            </w:r>
          </w:p>
        </w:tc>
        <w:tc>
          <w:tcPr>
            <w:tcW w:w="2890" w:type="dxa"/>
            <w:tcBorders>
              <w:top w:val="nil"/>
              <w:left w:val="single" w:sz="10" w:space="0" w:color="000000"/>
              <w:right w:val="nil"/>
            </w:tcBorders>
            <w:shd w:val="clear" w:color="auto" w:fill="auto"/>
          </w:tcPr>
          <w:p w14:paraId="0D98D78A" w14:textId="77777777" w:rsidR="00933609" w:rsidRPr="00DB2A10" w:rsidRDefault="002D5188">
            <w:pPr>
              <w:spacing w:before="57" w:after="57"/>
              <w:jc w:val="center"/>
              <w:rPr>
                <w:i/>
                <w:iCs/>
                <w:color w:val="000000" w:themeColor="text1"/>
              </w:rPr>
            </w:pPr>
            <w:r w:rsidRPr="00DB2A10">
              <w:rPr>
                <w:i/>
                <w:iCs/>
                <w:color w:val="000000" w:themeColor="text1"/>
              </w:rPr>
              <w:t>Zinksulfat</w:t>
            </w:r>
          </w:p>
        </w:tc>
      </w:tr>
      <w:tr w:rsidR="00933609" w14:paraId="7A3E6D9B" w14:textId="77777777"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F90342" w14:textId="77777777" w:rsidR="00933609" w:rsidRDefault="002D5188">
            <w:pPr>
              <w:spacing w:before="57" w:after="57"/>
              <w:jc w:val="center"/>
            </w:pPr>
            <w:r>
              <w:t>Ag</w:t>
            </w:r>
            <w:r>
              <w:rPr>
                <w:vertAlign w:val="superscript"/>
              </w:rPr>
              <w:t>+</w:t>
            </w:r>
          </w:p>
        </w:tc>
        <w:tc>
          <w:tcPr>
            <w:tcW w:w="1155" w:type="dxa"/>
            <w:tcBorders>
              <w:top w:val="nil"/>
              <w:left w:val="single" w:sz="10" w:space="0" w:color="000000"/>
              <w:bottom w:val="nil"/>
            </w:tcBorders>
            <w:shd w:val="clear" w:color="auto" w:fill="auto"/>
            <w:vAlign w:val="center"/>
          </w:tcPr>
          <w:p w14:paraId="29FED784" w14:textId="77777777" w:rsidR="00933609" w:rsidRDefault="002D5188">
            <w:pPr>
              <w:spacing w:before="57" w:after="57"/>
              <w:jc w:val="center"/>
            </w:pPr>
            <w:r>
              <w:t>NO</w:t>
            </w:r>
            <w:r>
              <w:rPr>
                <w:vertAlign w:val="subscript"/>
              </w:rPr>
              <w:t>3</w:t>
            </w:r>
            <w:r>
              <w:rPr>
                <w:rFonts w:eastAsia="Arial" w:cs="Arial"/>
                <w:vertAlign w:val="superscript"/>
              </w:rPr>
              <w:t>–</w:t>
            </w:r>
          </w:p>
        </w:tc>
        <w:tc>
          <w:tcPr>
            <w:tcW w:w="2077" w:type="dxa"/>
            <w:tcBorders>
              <w:top w:val="nil"/>
              <w:left w:val="single" w:sz="10" w:space="0" w:color="000000"/>
              <w:bottom w:val="nil"/>
            </w:tcBorders>
            <w:shd w:val="clear" w:color="auto" w:fill="auto"/>
            <w:vAlign w:val="center"/>
          </w:tcPr>
          <w:p w14:paraId="309EA2F1" w14:textId="77777777" w:rsidR="00933609" w:rsidRPr="00DB2A10" w:rsidRDefault="002D5188">
            <w:pPr>
              <w:spacing w:before="57" w:after="57"/>
              <w:jc w:val="center"/>
              <w:rPr>
                <w:i/>
                <w:iCs/>
                <w:color w:val="000000" w:themeColor="text1"/>
              </w:rPr>
            </w:pPr>
            <w:r w:rsidRPr="00DB2A10">
              <w:rPr>
                <w:i/>
                <w:iCs/>
                <w:color w:val="000000" w:themeColor="text1"/>
              </w:rPr>
              <w:t>1:1</w:t>
            </w:r>
          </w:p>
        </w:tc>
        <w:tc>
          <w:tcPr>
            <w:tcW w:w="1990" w:type="dxa"/>
            <w:tcBorders>
              <w:top w:val="nil"/>
              <w:left w:val="single" w:sz="10" w:space="0" w:color="000000"/>
              <w:bottom w:val="nil"/>
            </w:tcBorders>
            <w:shd w:val="clear" w:color="auto" w:fill="auto"/>
            <w:vAlign w:val="center"/>
          </w:tcPr>
          <w:p w14:paraId="50DDD609" w14:textId="77777777" w:rsidR="00933609" w:rsidRPr="00DB2A10" w:rsidRDefault="002D5188">
            <w:pPr>
              <w:spacing w:after="0"/>
              <w:jc w:val="center"/>
              <w:rPr>
                <w:i/>
                <w:iCs/>
                <w:color w:val="000000" w:themeColor="text1"/>
              </w:rPr>
            </w:pPr>
            <w:r w:rsidRPr="00DB2A10">
              <w:rPr>
                <w:i/>
                <w:iCs/>
                <w:color w:val="000000" w:themeColor="text1"/>
              </w:rPr>
              <w:t>AgNO</w:t>
            </w:r>
            <w:r w:rsidRPr="00DB2A10">
              <w:rPr>
                <w:i/>
                <w:iCs/>
                <w:color w:val="000000" w:themeColor="text1"/>
                <w:vertAlign w:val="subscript"/>
              </w:rPr>
              <w:t>3</w:t>
            </w:r>
          </w:p>
        </w:tc>
        <w:tc>
          <w:tcPr>
            <w:tcW w:w="2890" w:type="dxa"/>
            <w:tcBorders>
              <w:top w:val="nil"/>
              <w:left w:val="single" w:sz="10" w:space="0" w:color="000000"/>
              <w:bottom w:val="nil"/>
              <w:right w:val="nil"/>
            </w:tcBorders>
            <w:shd w:val="clear" w:color="auto" w:fill="auto"/>
          </w:tcPr>
          <w:p w14:paraId="6968F2FB" w14:textId="77777777" w:rsidR="00933609" w:rsidRPr="00DB2A10" w:rsidRDefault="002D5188">
            <w:pPr>
              <w:spacing w:before="57" w:after="57"/>
              <w:jc w:val="center"/>
              <w:rPr>
                <w:i/>
                <w:iCs/>
                <w:color w:val="000000" w:themeColor="text1"/>
              </w:rPr>
            </w:pPr>
            <w:r w:rsidRPr="00DB2A10">
              <w:rPr>
                <w:i/>
                <w:iCs/>
                <w:color w:val="000000" w:themeColor="text1"/>
              </w:rPr>
              <w:t>Silbernitrat</w:t>
            </w:r>
          </w:p>
        </w:tc>
      </w:tr>
    </w:tbl>
    <w:p w14:paraId="47FFDF20" w14:textId="77777777" w:rsidR="00DB2A10" w:rsidRDefault="00DB2A10"/>
    <w:p w14:paraId="3E1FA65E" w14:textId="4276359B" w:rsidR="00DB2A10" w:rsidRDefault="006D20B4" w:rsidP="00DB2A10">
      <w:r>
        <w:rPr>
          <w:vertAlign w:val="superscript"/>
        </w:rPr>
        <w:t>1</w:t>
      </w:r>
      <w:r>
        <w:t xml:space="preserve">: Die römischen Zahlen zur Beschreibung der Ladung des Kations wurden auf AB 2 nicht eingeführt. Es ist also davon auszugehen, dass die </w:t>
      </w:r>
      <w:r w:rsidR="00EA5655">
        <w:t xml:space="preserve">Schülerinnen und Schüler </w:t>
      </w:r>
      <w:r>
        <w:t xml:space="preserve">hier als Lösung </w:t>
      </w:r>
      <w:r w:rsidRPr="006D20B4">
        <w:rPr>
          <w:b/>
          <w:bCs/>
          <w:i/>
          <w:iCs/>
        </w:rPr>
        <w:t>Eisenbromid</w:t>
      </w:r>
      <w:r>
        <w:t xml:space="preserve"> bzw. </w:t>
      </w:r>
      <w:r w:rsidRPr="006D20B4">
        <w:rPr>
          <w:b/>
          <w:bCs/>
          <w:i/>
          <w:iCs/>
        </w:rPr>
        <w:t>Kupferoxid</w:t>
      </w:r>
      <w:r w:rsidRPr="006D20B4">
        <w:rPr>
          <w:b/>
          <w:bCs/>
        </w:rPr>
        <w:t xml:space="preserve"> </w:t>
      </w:r>
      <w:r>
        <w:t xml:space="preserve">angeben. Ob man an dieser Stelle die verschiedenen Oxidationsstufen der Metalle thematisiert, sollte vom Vorwissen der </w:t>
      </w:r>
      <w:r w:rsidR="00EA5655">
        <w:t xml:space="preserve">Schülerinnen und Schüler </w:t>
      </w:r>
      <w:r>
        <w:t xml:space="preserve">abhängig gemacht werden. </w:t>
      </w:r>
    </w:p>
    <w:p w14:paraId="60590DED" w14:textId="5378186F" w:rsidR="00D16DDC" w:rsidRDefault="00D16DDC" w:rsidP="00DB2A10">
      <w:bookmarkStart w:id="0" w:name="_GoBack"/>
      <w:bookmarkEnd w:id="0"/>
    </w:p>
    <w:p w14:paraId="414E4446" w14:textId="0AF86A39" w:rsidR="00D16DDC" w:rsidRDefault="00D16DDC" w:rsidP="00DB2A10">
      <w:r>
        <w:t>Mögliche Faustregel zur Elektroneutralität (für Folie 3):</w:t>
      </w:r>
    </w:p>
    <w:p w14:paraId="7A3FFBF7" w14:textId="77777777" w:rsidR="00D16DDC" w:rsidRDefault="00D16DDC" w:rsidP="00D16DDC">
      <w:pPr>
        <w:pStyle w:val="Tabelleninhalt"/>
        <w:spacing w:after="57"/>
      </w:pPr>
      <w:r>
        <w:rPr>
          <w:b/>
          <w:bCs/>
          <w:color w:val="000000"/>
          <w:sz w:val="24"/>
          <w:szCs w:val="24"/>
          <w:u w:val="single"/>
        </w:rPr>
        <w:t>Merke</w:t>
      </w:r>
      <w:r>
        <w:rPr>
          <w:b/>
          <w:bCs/>
          <w:color w:val="000000"/>
          <w:sz w:val="24"/>
          <w:szCs w:val="24"/>
        </w:rPr>
        <w:t xml:space="preserve">: </w:t>
      </w:r>
    </w:p>
    <w:p w14:paraId="03B22A78" w14:textId="4BF35BAA" w:rsidR="00D16DDC" w:rsidRDefault="00D16DDC" w:rsidP="00D16DDC">
      <w:pPr>
        <w:pStyle w:val="Tabelleninhalt"/>
        <w:spacing w:after="0"/>
        <w:ind w:left="170" w:right="170"/>
      </w:pPr>
      <w:r>
        <w:rPr>
          <w:b/>
          <w:bCs/>
          <w:color w:val="000000"/>
          <w:sz w:val="24"/>
          <w:szCs w:val="24"/>
        </w:rPr>
        <w:t xml:space="preserve">Alle Salze sind elektrisch ungeladen, da sie genauso viele positive </w:t>
      </w:r>
      <w:r w:rsidR="00EA5655">
        <w:rPr>
          <w:b/>
          <w:bCs/>
          <w:color w:val="000000"/>
          <w:sz w:val="24"/>
          <w:szCs w:val="24"/>
        </w:rPr>
        <w:t xml:space="preserve">wie </w:t>
      </w:r>
      <w:r>
        <w:rPr>
          <w:b/>
          <w:bCs/>
          <w:color w:val="000000"/>
          <w:sz w:val="24"/>
          <w:szCs w:val="24"/>
        </w:rPr>
        <w:t>negative Ladungen enthalten (</w:t>
      </w:r>
      <w:r>
        <w:rPr>
          <w:b/>
          <w:bCs/>
          <w:i/>
          <w:iCs/>
          <w:color w:val="000000"/>
          <w:sz w:val="24"/>
          <w:szCs w:val="24"/>
          <w:u w:val="single"/>
        </w:rPr>
        <w:t>Elektroneutralität</w:t>
      </w:r>
      <w:r>
        <w:rPr>
          <w:b/>
          <w:bCs/>
          <w:color w:val="000000"/>
          <w:sz w:val="24"/>
          <w:szCs w:val="24"/>
        </w:rPr>
        <w:t xml:space="preserve">). </w:t>
      </w:r>
    </w:p>
    <w:p w14:paraId="770FD3D0" w14:textId="4A9AFF9F" w:rsidR="00D16DDC" w:rsidRDefault="00D16DDC" w:rsidP="00D16DDC">
      <w:pPr>
        <w:ind w:left="170"/>
      </w:pPr>
      <w:r>
        <w:rPr>
          <w:b/>
          <w:bCs/>
          <w:color w:val="000000"/>
          <w:sz w:val="24"/>
          <w:szCs w:val="24"/>
        </w:rPr>
        <w:t xml:space="preserve">Enthält ein Salz </w:t>
      </w:r>
      <w:r>
        <w:rPr>
          <w:b/>
          <w:bCs/>
          <w:color w:val="000000"/>
          <w:sz w:val="24"/>
          <w:szCs w:val="24"/>
          <w:u w:val="single"/>
        </w:rPr>
        <w:t>unterschiedlich</w:t>
      </w:r>
      <w:r>
        <w:rPr>
          <w:b/>
          <w:bCs/>
          <w:color w:val="000000"/>
          <w:sz w:val="24"/>
          <w:szCs w:val="24"/>
        </w:rPr>
        <w:t xml:space="preserve"> geladene Anionen und Kationen, so kommen die beiden Ionensorten nicht im gleichen Verhältnis vor. </w:t>
      </w:r>
    </w:p>
    <w:p w14:paraId="4C8F5D63" w14:textId="77777777" w:rsidR="00D16DDC" w:rsidRPr="006D20B4" w:rsidRDefault="00D16DDC" w:rsidP="00DB2A10"/>
    <w:p w14:paraId="5F3E3286" w14:textId="77777777" w:rsidR="00DB2A10" w:rsidRPr="00DB2A10" w:rsidRDefault="00DB2A10" w:rsidP="00DB2A10"/>
    <w:p w14:paraId="7025185E" w14:textId="77777777" w:rsidR="00DB2A10" w:rsidRPr="00DB2A10" w:rsidRDefault="00DB2A10" w:rsidP="00DB2A10"/>
    <w:p w14:paraId="5A24B83F" w14:textId="77777777" w:rsidR="00DB2A10" w:rsidRPr="00DB2A10" w:rsidRDefault="00DB2A10" w:rsidP="00DB2A10"/>
    <w:p w14:paraId="4DBD2A85" w14:textId="77777777" w:rsidR="00DB2A10" w:rsidRPr="00DB2A10" w:rsidRDefault="00DB2A10" w:rsidP="00DB2A10"/>
    <w:p w14:paraId="6D14FDCA" w14:textId="77777777" w:rsidR="00DB2A10" w:rsidRPr="00DB2A10" w:rsidRDefault="00DB2A10" w:rsidP="00DB2A10"/>
    <w:p w14:paraId="5959278A" w14:textId="77777777" w:rsidR="00DB2A10" w:rsidRPr="00DB2A10" w:rsidRDefault="00DB2A10" w:rsidP="00DB2A10"/>
    <w:p w14:paraId="4C4ECE65" w14:textId="77777777" w:rsidR="00DB2A10" w:rsidRPr="00DB2A10" w:rsidRDefault="00DB2A10" w:rsidP="00DB2A10"/>
    <w:p w14:paraId="0650DCCD" w14:textId="77777777" w:rsidR="00DB2A10" w:rsidRPr="00DB2A10" w:rsidRDefault="00DB2A10" w:rsidP="00DB2A10"/>
    <w:sectPr w:rsidR="00DB2A10" w:rsidRPr="00DB2A10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pgNumType w:start="1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57ECA" w14:textId="77777777" w:rsidR="00BE2490" w:rsidRDefault="00BE2490">
      <w:pPr>
        <w:spacing w:after="0"/>
      </w:pPr>
      <w:r>
        <w:separator/>
      </w:r>
    </w:p>
  </w:endnote>
  <w:endnote w:type="continuationSeparator" w:id="0">
    <w:p w14:paraId="5C1D1341" w14:textId="77777777" w:rsidR="00BE2490" w:rsidRDefault="00BE24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54C36" w14:textId="77777777" w:rsidR="00933609" w:rsidRDefault="00DB2A10">
    <w:pPr>
      <w:rPr>
        <w:rFonts w:asciiTheme="majorHAnsi" w:eastAsiaTheme="majorEastAsia" w:hAnsiTheme="majorHAnsi" w:cstheme="majorBidi"/>
      </w:rPr>
    </w:pPr>
    <w:r w:rsidRPr="009F19C1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E1EB4F5" wp14:editId="6B10F464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062000" cy="504000"/>
          <wp:effectExtent l="0" t="0" r="5080" b="0"/>
          <wp:wrapNone/>
          <wp:docPr id="2" name="Grafik 2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5188">
      <w:rPr>
        <w:rFonts w:ascii="Calibri Light" w:eastAsiaTheme="majorEastAsia" w:hAnsi="Calibri Light" w:cstheme="majorBidi"/>
        <w:noProof/>
        <w:lang w:eastAsia="de-DE"/>
      </w:rPr>
      <mc:AlternateContent>
        <mc:Choice Requires="wps">
          <w:drawing>
            <wp:anchor distT="0" distB="0" distL="114300" distR="114300" simplePos="0" relativeHeight="2" behindDoc="1" locked="0" layoutInCell="1" allowOverlap="1" wp14:anchorId="047C94EC" wp14:editId="3A69C720">
              <wp:simplePos x="0" y="0"/>
              <wp:positionH relativeFrom="margin">
                <wp:posOffset>5396230</wp:posOffset>
              </wp:positionH>
              <wp:positionV relativeFrom="paragraph">
                <wp:posOffset>114300</wp:posOffset>
              </wp:positionV>
              <wp:extent cx="363855" cy="363855"/>
              <wp:effectExtent l="0" t="0" r="0" b="0"/>
              <wp:wrapNone/>
              <wp:docPr id="8" name="Ellips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3240" cy="36324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/>
                    </wps:style>
                    <wps:txbx>
                      <w:txbxContent>
                        <w:p w14:paraId="5925F069" w14:textId="17030D3B" w:rsidR="00933609" w:rsidRPr="00DB2A10" w:rsidRDefault="002D5188">
                          <w:pPr>
                            <w:pStyle w:val="Fuzeile"/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DB2A10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begin"/>
                          </w:r>
                          <w:r w:rsidRPr="00DB2A10">
                            <w:rPr>
                              <w:b/>
                              <w:bCs/>
                              <w:color w:val="FFFFFF" w:themeColor="background1"/>
                            </w:rPr>
                            <w:instrText>PAGE</w:instrText>
                          </w:r>
                          <w:r w:rsidRPr="00DB2A10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separate"/>
                          </w:r>
                          <w:r w:rsidR="00640655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DB2A10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047C94EC" id="Ellipse 17" o:spid="_x0000_s1027" style="position:absolute;left:0;text-align:left;margin-left:424.9pt;margin-top:9pt;width:28.65pt;height:28.65pt;z-index:-50331647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cSyyQEAANkDAAAOAAAAZHJzL2Uyb0RvYy54bWysU8Fu2zAMvQ/YPwi6L46ToRuMOMWwbrsM&#10;W7G2H6DIVCxAEgVJjZ2/LyV7TtHusmEXmSL5SL4nenc9WsNOEKJG1/J6teYMnMROu2PLH+6/vvvI&#10;WUzCdcKgg5afIfLr/ds3u8E3sMEeTQeBUREXm8G3vE/JN1UVZQ9WxBV6cBRUGKxIdA3HqgtioOrW&#10;VJv1+qoaMHQ+oIQYyXszBfm+1FcKZPqpVITETMtptlTOUM5DPqv9TjTHIHyv5TyG+IcprNCOmi6l&#10;bkQS7DHoV6WslgEjqrSSaCtUSksoHIhNvX7B5q4XHgoXEif6Rab4/8rKH6fbwHTXcnooJyw90Rdj&#10;tI/A6g9ZncHHhpLu/G2Yb5HMTHVUweYvkWBjUfS8KApjYpKc26vt5j3pLik021SluoB9iOkboGXZ&#10;aDlMvYuU4vQ9pin7d1ZuZ1z25bGmQYqVzgam4C9QRCe3LkXKIsFnE9hJ0AqYVGdSNIBxlJkhShuz&#10;gOo/gYSU4NJ2Bs75GQplwf4GvCBKZ3RpAVvtMJQWzwhlM42HsTxQmTx7Dtid6dGEkz3SKssUytQO&#10;Pz0mVLpodsmbxaL9KbznXc8L+vxesi5/5P4JAAD//wMAUEsDBBQABgAIAAAAIQCqV3cQ3gAAAAkB&#10;AAAPAAAAZHJzL2Rvd25yZXYueG1sTI9PT4NAFMTvJn6HzTPxZpf6D4osTWNi9GipTXp8wBOI7Ftk&#10;lxb99D5PepzMZOY32Xq2vTrS6DvHBpaLCBRx5eqOGwNvu6erBJQPyDX2jsnAF3lY5+dnGaa1O/GW&#10;jkVolJSwT9FAG8KQau2rliz6hRuIxXt3o8Ugcmx0PeJJym2vr6PoXlvsWBZaHOixpeqjmKyBZ7+P&#10;p09bHva2wtdys/0+FC87Yy4v5s0DqEBz+AvDL76gQy5MpZu49qo3kNyuBD2IkcgnCayieAmqNBDf&#10;3YDOM/3/Qf4DAAD//wMAUEsBAi0AFAAGAAgAAAAhALaDOJL+AAAA4QEAABMAAAAAAAAAAAAAAAAA&#10;AAAAAFtDb250ZW50X1R5cGVzXS54bWxQSwECLQAUAAYACAAAACEAOP0h/9YAAACUAQAACwAAAAAA&#10;AAAAAAAAAAAvAQAAX3JlbHMvLnJlbHNQSwECLQAUAAYACAAAACEAC+3EsskBAADZAwAADgAAAAAA&#10;AAAAAAAAAAAuAgAAZHJzL2Uyb0RvYy54bWxQSwECLQAUAAYACAAAACEAqld3EN4AAAAJAQAADwAA&#10;AAAAAAAAAAAAAAAjBAAAZHJzL2Rvd25yZXYueG1sUEsFBgAAAAAEAAQA8wAAAC4FAAAAAA==&#10;" fillcolor="#a5a5a5 [3206]" strokecolor="white [3201]" strokeweight="1.5pt">
              <v:stroke joinstyle="miter"/>
              <v:textbox>
                <w:txbxContent>
                  <w:p w14:paraId="5925F069" w14:textId="17030D3B" w:rsidR="00933609" w:rsidRPr="00DB2A10" w:rsidRDefault="002D5188">
                    <w:pPr>
                      <w:pStyle w:val="Fuzeile"/>
                      <w:jc w:val="center"/>
                      <w:rPr>
                        <w:color w:val="FFFFFF" w:themeColor="background1"/>
                      </w:rPr>
                    </w:pPr>
                    <w:r w:rsidRPr="00DB2A10">
                      <w:rPr>
                        <w:b/>
                        <w:bCs/>
                        <w:color w:val="FFFFFF" w:themeColor="background1"/>
                      </w:rPr>
                      <w:fldChar w:fldCharType="begin"/>
                    </w:r>
                    <w:r w:rsidRPr="00DB2A10">
                      <w:rPr>
                        <w:b/>
                        <w:bCs/>
                        <w:color w:val="FFFFFF" w:themeColor="background1"/>
                      </w:rPr>
                      <w:instrText>PAGE</w:instrText>
                    </w:r>
                    <w:r w:rsidRPr="00DB2A10">
                      <w:rPr>
                        <w:b/>
                        <w:bCs/>
                        <w:color w:val="FFFFFF" w:themeColor="background1"/>
                      </w:rPr>
                      <w:fldChar w:fldCharType="separate"/>
                    </w:r>
                    <w:r w:rsidR="00640655">
                      <w:rPr>
                        <w:b/>
                        <w:bCs/>
                        <w:noProof/>
                        <w:color w:val="FFFFFF" w:themeColor="background1"/>
                      </w:rPr>
                      <w:t>1</w:t>
                    </w:r>
                    <w:r w:rsidRPr="00DB2A10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/>
            </v:oval>
          </w:pict>
        </mc:Fallback>
      </mc:AlternateContent>
    </w:r>
  </w:p>
  <w:p w14:paraId="1C498AFC" w14:textId="77777777" w:rsidR="00933609" w:rsidRDefault="009336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32021" w14:textId="77777777" w:rsidR="00BE2490" w:rsidRDefault="00BE2490">
      <w:pPr>
        <w:spacing w:after="0"/>
      </w:pPr>
      <w:r>
        <w:separator/>
      </w:r>
    </w:p>
  </w:footnote>
  <w:footnote w:type="continuationSeparator" w:id="0">
    <w:p w14:paraId="5F8F6006" w14:textId="77777777" w:rsidR="00BE2490" w:rsidRDefault="00BE24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B2200" w14:textId="77777777" w:rsidR="00933609" w:rsidRDefault="002D5188">
    <w:pPr>
      <w:pStyle w:val="Kopfzeile1"/>
      <w:rPr>
        <w:b w:val="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3" behindDoc="1" locked="0" layoutInCell="1" allowOverlap="1" wp14:anchorId="00B91033" wp14:editId="56AF1B1D">
              <wp:simplePos x="0" y="0"/>
              <wp:positionH relativeFrom="column">
                <wp:posOffset>28575</wp:posOffset>
              </wp:positionH>
              <wp:positionV relativeFrom="paragraph">
                <wp:posOffset>-243205</wp:posOffset>
              </wp:positionV>
              <wp:extent cx="5840730" cy="538480"/>
              <wp:effectExtent l="0" t="0" r="26670" b="13970"/>
              <wp:wrapNone/>
              <wp:docPr id="1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0730" cy="53848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0708E29B" w14:textId="77777777" w:rsidR="001D11D0" w:rsidRPr="001D11D0" w:rsidRDefault="001D11D0" w:rsidP="001D11D0">
                          <w:pPr>
                            <w:pStyle w:val="Rahmeninhalt"/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 w:rsidRPr="001D11D0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3 </w:t>
                          </w:r>
                          <w:r w:rsidRPr="001D11D0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Aneignung</w:t>
                          </w:r>
                          <w:r w:rsidRPr="001D11D0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1D11D0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  <w:lang w:eastAsia="de-DE"/>
                            </w:rPr>
                            <w:t>Nomenklatur und Verhältnisformeln</w:t>
                          </w:r>
                        </w:p>
                        <w:p w14:paraId="7AEA0ED3" w14:textId="77777777" w:rsidR="00933609" w:rsidRDefault="00933609">
                          <w:pPr>
                            <w:pStyle w:val="Rahmeninhalt"/>
                            <w:jc w:val="center"/>
                            <w:rPr>
                              <w:rFonts w:ascii="Calibri" w:hAnsi="Calibri"/>
                              <w:b/>
                              <w:color w:val="00B0F0"/>
                              <w:sz w:val="32"/>
                            </w:rPr>
                          </w:pP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00B91033" id="Abgerundetes Rechteck 29" o:spid="_x0000_s1026" style="position:absolute;left:0;text-align:left;margin-left:2.25pt;margin-top:-19.15pt;width:459.9pt;height:42.4pt;z-index:-50331647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u48CAIAAEEEAAAOAAAAZHJzL2Uyb0RvYy54bWysU01v2zAMvQ/YfxB0X2ynbZoFcYpixXYZ&#10;uqLtsLMiU7FXfUFiEuffj1Icp+h6GnaRKZOPfHyklje90WwHIXbO1ryalJyBla7p7KbmP5+/fppz&#10;FlHYRmhnoeYHiPxm9fHDcu8XMHWt0w0ERklsXOx9zVtEvyiKKFswIk6cB0tO5YIRSNewKZog9pTd&#10;6GJalrNi70Ljg5MQI/29Ozr5KudXCiT+UCoCMl1z4ob5DPlcp7NYLcViE4RvOznQEP/AwojOUtEx&#10;1Z1Awbah+yuV6WRw0SmcSGcKp1QnIfdA3VTlm26eWuEh90LiRD/KFP9fWnm/ewisa2h2nFlhaES3&#10;6w2ErW0AIbJHkC2CfGHTz0mrvY8Lgjz5hzDcIpmp8V4Fk77UEuuzvodRX+iRSfp5Nb8sry9oDJJ8&#10;Vxfzy3keQHFG+xDxGzjDklHz4IgHUcCsrdh9j5hFbgaqovnNmTKaRrYTmlWz2ew60aSMQzBZp5wJ&#10;qW3ypi6OvLOFBw1H5yMo0oKYTnPBvIXwRQdG2WvevFRDcm0pMkFUp/UIqt4DaTyBhtgEg7yZI7B8&#10;D3iuNkbnis7iCDSddSFzetVIMrFf98OA1q450IiFla2jxZcYcrWkynP/SwQ/aI00pXt3WrlBwKOW&#10;59jEwLrbLTrV4UnKY4VBV9rTrP/wptJDeH3PUeeXv/oDAAD//wMAUEsDBBQABgAIAAAAIQClVZh0&#10;3gAAAAgBAAAPAAAAZHJzL2Rvd25yZXYueG1sTI/LTsMwEEX3SPyDNUjsWqdPlRCnqkCoAqlChMfa&#10;jYc4NB5HsdOEv2dYwW5G5+rOmWw7ukacsQu1JwWzaQICqfSmpkrB2+vDZAMiRE1GN55QwTcG2OaX&#10;F5lOjR/oBc9FrASXUEi1Ahtjm0oZSotOh6lvkZh9+s7pyGtXSdPpgctdI+dJspZO18QXrG7xzmJ5&#10;Knqn4GPn98+yfzq8n2wR7dcjDfezvVLXV+PuFkTEMf6F4Vef1SFnp6PvyQTRKFiuOKhgstgsQDC/&#10;mS95ODJYr0Dmmfz/QP4DAAD//wMAUEsBAi0AFAAGAAgAAAAhALaDOJL+AAAA4QEAABMAAAAAAAAA&#10;AAAAAAAAAAAAAFtDb250ZW50X1R5cGVzXS54bWxQSwECLQAUAAYACAAAACEAOP0h/9YAAACUAQAA&#10;CwAAAAAAAAAAAAAAAAAvAQAAX3JlbHMvLnJlbHNQSwECLQAUAAYACAAAACEARSruPAgCAABBBAAA&#10;DgAAAAAAAAAAAAAAAAAuAgAAZHJzL2Uyb0RvYy54bWxQSwECLQAUAAYACAAAACEApVWYdN4AAAAI&#10;AQAADwAAAAAAAAAAAAAAAABiBAAAZHJzL2Rvd25yZXYueG1sUEsFBgAAAAAEAAQA8wAAAG0FAAAA&#10;AA==&#10;" fillcolor="white [3201]" strokecolor="black [3200]" strokeweight="1pt">
              <v:stroke joinstyle="miter"/>
              <v:textbox>
                <w:txbxContent>
                  <w:p w14:paraId="0708E29B" w14:textId="77777777" w:rsidR="001D11D0" w:rsidRPr="001D11D0" w:rsidRDefault="001D11D0" w:rsidP="001D11D0">
                    <w:pPr>
                      <w:pStyle w:val="Rahmeninhalt"/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 w:rsidRPr="001D11D0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3 </w:t>
                    </w:r>
                    <w:r w:rsidRPr="001D11D0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Aneignung</w:t>
                    </w:r>
                    <w:r w:rsidRPr="001D11D0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1D11D0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  <w:lang w:eastAsia="de-DE"/>
                      </w:rPr>
                      <w:t>Nomenklatur und Verhältnisformeln</w:t>
                    </w:r>
                  </w:p>
                  <w:p w14:paraId="7AEA0ED3" w14:textId="77777777" w:rsidR="00933609" w:rsidRDefault="00933609">
                    <w:pPr>
                      <w:pStyle w:val="Rahmeninhalt"/>
                      <w:jc w:val="center"/>
                      <w:rPr>
                        <w:rFonts w:ascii="Calibri" w:hAnsi="Calibri"/>
                        <w:b/>
                        <w:color w:val="00B0F0"/>
                        <w:sz w:val="32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  <w:lang w:eastAsia="de-DE"/>
      </w:rPr>
      <w:drawing>
        <wp:anchor distT="0" distB="635" distL="114300" distR="114300" simplePos="0" relativeHeight="6" behindDoc="1" locked="0" layoutInCell="1" allowOverlap="1" wp14:anchorId="16B01648" wp14:editId="7C5398ED">
          <wp:simplePos x="0" y="0"/>
          <wp:positionH relativeFrom="column">
            <wp:posOffset>5170805</wp:posOffset>
          </wp:positionH>
          <wp:positionV relativeFrom="paragraph">
            <wp:posOffset>-205105</wp:posOffset>
          </wp:positionV>
          <wp:extent cx="476885" cy="456565"/>
          <wp:effectExtent l="0" t="0" r="0" b="0"/>
          <wp:wrapNone/>
          <wp:docPr id="7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609"/>
    <w:rsid w:val="000307E6"/>
    <w:rsid w:val="001C40FB"/>
    <w:rsid w:val="001D11D0"/>
    <w:rsid w:val="00266061"/>
    <w:rsid w:val="00271C02"/>
    <w:rsid w:val="00275929"/>
    <w:rsid w:val="002D5188"/>
    <w:rsid w:val="00330264"/>
    <w:rsid w:val="003A58CC"/>
    <w:rsid w:val="00612386"/>
    <w:rsid w:val="00640655"/>
    <w:rsid w:val="00691207"/>
    <w:rsid w:val="006D20B4"/>
    <w:rsid w:val="00757976"/>
    <w:rsid w:val="007F3784"/>
    <w:rsid w:val="008A575A"/>
    <w:rsid w:val="0090439F"/>
    <w:rsid w:val="00933609"/>
    <w:rsid w:val="00956960"/>
    <w:rsid w:val="00A66CB6"/>
    <w:rsid w:val="00AF53BC"/>
    <w:rsid w:val="00B52DB6"/>
    <w:rsid w:val="00B74B34"/>
    <w:rsid w:val="00BE2490"/>
    <w:rsid w:val="00D16DDC"/>
    <w:rsid w:val="00D601E5"/>
    <w:rsid w:val="00DB2A10"/>
    <w:rsid w:val="00DF70DC"/>
    <w:rsid w:val="00EA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DC14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after="160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uiPriority w:val="9"/>
    <w:unhideWhenUsed/>
    <w:qFormat/>
    <w:rsid w:val="00C34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uiPriority w:val="9"/>
    <w:qFormat/>
    <w:rsid w:val="00663391"/>
    <w:rPr>
      <w:rFonts w:ascii="Arial" w:eastAsiaTheme="majorEastAsia" w:hAnsi="Arial" w:cstheme="majorBidi"/>
      <w:b/>
      <w:szCs w:val="26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75AC0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B75AC0"/>
    <w:rPr>
      <w:rFonts w:ascii="Arial" w:hAnsi="Arial"/>
    </w:rPr>
  </w:style>
  <w:style w:type="character" w:customStyle="1" w:styleId="Kopfzeile1Zchn">
    <w:name w:val="Kopfzeile 1 Zchn"/>
    <w:basedOn w:val="berschrift1Zchn"/>
    <w:link w:val="Kopfzeile1"/>
    <w:qFormat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character" w:customStyle="1" w:styleId="berschrift3Zchn">
    <w:name w:val="Überschrift 3 Zchn"/>
    <w:basedOn w:val="Absatz-Standardschriftart"/>
    <w:uiPriority w:val="9"/>
    <w:qFormat/>
    <w:rsid w:val="00C3471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D387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490F3F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490F3F"/>
    <w:rPr>
      <w:rFonts w:ascii="Arial" w:hAnsi="Arial"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490F3F"/>
    <w:rPr>
      <w:rFonts w:ascii="Arial" w:hAnsi="Arial"/>
      <w:b/>
      <w:bCs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qFormat/>
    <w:rsid w:val="004446EB"/>
    <w:rPr>
      <w:color w:val="80808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ascii="Candara" w:hAnsi="Candara" w:cs="Arial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ndara" w:hAnsi="Candara" w:cs="Arial"/>
    </w:rPr>
  </w:style>
  <w:style w:type="paragraph" w:styleId="KeinLeerraum">
    <w:name w:val="No Spacing"/>
    <w:uiPriority w:val="1"/>
    <w:qFormat/>
    <w:rsid w:val="00B75AC0"/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5D3876"/>
    <w:pPr>
      <w:spacing w:after="0"/>
    </w:pPr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490F3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490F3F"/>
    <w:rPr>
      <w:b/>
      <w:bCs/>
    </w:rPr>
  </w:style>
  <w:style w:type="paragraph" w:customStyle="1" w:styleId="Rahmeninhalt">
    <w:name w:val="Rahmeninhalt"/>
    <w:basedOn w:val="Standard"/>
    <w:qFormat/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table" w:styleId="Tabellenraster">
    <w:name w:val="Table Grid"/>
    <w:basedOn w:val="NormaleTabelle"/>
    <w:uiPriority w:val="39"/>
    <w:rsid w:val="00C94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uiPriority w:val="39"/>
    <w:rsid w:val="001A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0307E6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307E6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307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ACD55-21B1-4158-9B05-C8793F582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2021-08-12T12:24:00Z</dcterms:created>
  <dcterms:modified xsi:type="dcterms:W3CDTF">2021-09-23T09:31:00Z</dcterms:modified>
  <dc:language/>
</cp:coreProperties>
</file>